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4-14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381C84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4-14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381C84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5801F7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8480" behindDoc="0" locked="0" layoutInCell="1" allowOverlap="1" wp14:anchorId="33B36D5A" wp14:editId="0576D52A">
            <wp:simplePos x="0" y="0"/>
            <wp:positionH relativeFrom="margin">
              <wp:posOffset>-115266</wp:posOffset>
            </wp:positionH>
            <wp:positionV relativeFrom="paragraph">
              <wp:posOffset>368935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6C712E">
      <w:pPr>
        <w:rPr>
          <w:rFonts w:ascii="본고딕 Normal" w:eastAsia="본고딕 Normal" w:hAnsi="본고딕 Normal"/>
          <w:szCs w:val="20"/>
        </w:rPr>
      </w:pPr>
      <w:sdt>
        <w:sdtPr>
          <w:rPr>
            <w:rFonts w:ascii="본고딕 Medium" w:eastAsia="본고딕 Medium" w:hAnsi="본고딕 Medium" w:hint="eastAsia"/>
            <w:color w:val="FFFFFF" w:themeColor="background1"/>
            <w:sz w:val="56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77367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라인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패널 특기 시방서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 5층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 5층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885846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 w:rsidRPr="00E92021"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02-2222-0381~5</w:t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 xml:space="preserve">럭스틸 </w:t>
      </w:r>
      <w:r w:rsidR="000773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라인패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널 특기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uxteel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사용하여, 특정 형태로 성형 가공한 패널을 건축물 또는 공작물 등의 내외장재로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기준 등에 대해 적용하며, 공사의 범위는 설계도서, 발주자, 감독자 및 담당원의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1.2 관련 시방절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도면, 공사시방서, 현장설명서 및 질의 응답서에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 발주자 : 건설공사를 시공자에게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1.4.2 시공자 : 발주자로부터 건설공사를 도급받은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1.4.3 담당원 : 발주자가 지정한 감독자 및 감독 보조원을 말한다. 감독자라 함은 감독책임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1.4.4 설계도서 : 설계도면, 시방서, 현장설명서 및 질의 응답서를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1.4.5 지 시 : 발주자 측에서 발의하여 담당원이 시공자에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1.4.6 승 인 : 시공자 측에서 발의한 사항을 담당원이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1.4.7 입 회 : 담당원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1.4.8 시공 상세도 : 패널의 종류, 수량, 설치위치와 방법 등이 포함된 패널시공에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1.4.9 가로시공 : 패널의 장변을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1.4.10 세로시공 : 패널의 장변을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1.4.11 부속자재 : 패널의 본 시공을 위해 소요되는 부속철물 (사각파이프, 런너,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앵글, 챤넬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1.4.12 양중장비 : 패널을 시공에 필요한 장소까지 고소운반하는 장비로서 호이스트, 윈치, 지게 차, 크레인, 하이드로 등 수직운반용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1.4.13 실링재 : 실링재는 KS F 4910 (건축용 실링재) 에 적합한 것으로 패널과 패널의 맞닿는 면, 패널과 타부재와의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1.4.14 검 사 : 패널을 몇 개의 방법으로 시험한 결과를 품질 판정기준과 비교하여 개개의 패널 에 양품, 불량품의 판정을 내리거나 로트 판정기준과 비교하여 로트의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1.4.15 시 험 : 검사로트에서 샘플링한 검사단위 또는 시험품들에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내,외장재용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0773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시공상세도에는 평,입,단면도가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두께, 접합 및 긴결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0773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패널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워런티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초고내후성 및 내식성 보증서 (25년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KS 인증서(KS D 3030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, KS D 3033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건설산업기본법의 규정에 의한 전문건설업의 건축물조립 면허이상의 소지자로 당해 공사 착수 전에 관계서류를 제출하여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1.8.2 현장견본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1.8.3 시험시공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시공면적은 1㎡이상으로 하며, 패널 설치에 필요한 후레싱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견본시공부위는 시공물의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패널공사와 관련된 준비작업, 공사조건, 검사절차,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이외의 관계공사에 대하여는 공정, 구조, 상세의 시공부분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공사범위, 공사기간, 지급자재, 장비, 공구임대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반입조건,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조건, 가설조건, 공사용 전력, 공사용수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방수, 미장, 수장 공사와 전기, 설비공사 등 관련 공정의 선행관계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현장 내 시공 장소까지의 소운반은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뒤틀림, 균열 등의 손상이 생기지 않도록 목재 등의 보강재를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1.10.1 연관공사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패널을 설치하기 전 반드시 골조에 대한 정밀한 검측을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시공기준 먹메김은 항상 시공 전에 올바른지 확인하며 필요에 따라 현장 확인 후 추가적인 먹메김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시공부위에 대해서는 시공 전에 이물질이나 간섭되는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패널 설치공정과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 설비 및 전기공사의 매입배관 및 전기박스 등을 설치 완료 후에 밀실하게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 현장수량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패널은 반입 시에 종류, 치수 및 형상에 대해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 설치 완료 후 계약내용 및 설계도서에서 지정한 공사범위,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구간에 대해 확인하고 담당원의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하에 검측하여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1.13.1 당해 패널공사의 선행공정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 타 공정과의 협력작업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1.14.1 패널공사의 착수시점은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 여유자재(SPARE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1.16.1 여유자재의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1.17.1 수량 산출은 건설교통부 제정 (건축공사 수량산출기준〕에 의하여 산출하고 패널의 소요 수량은 설계도서나 현장의 실측에 의한 정미수량에 담당원이 현장 상황에 따라 할증율을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2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2. 재 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2.1 적용자재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널은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동국CM 부산공장에서 생산된 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선도장된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(도금원판) :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도금량 : ZM220이상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강종 :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수지타입 :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불소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 (25년 이상 보증제품)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레이어 :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-Coat 3-Baking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µm(프라이머)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µm(베이스도료)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µm(클리어)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µm(에폭시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과점착 및 저점착으로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- 노바셀 고가공용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라인패널의 형상은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탈만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노출부의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3E532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라인패널 세부 사항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① 형상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종류</w:t>
      </w:r>
    </w:p>
    <w:p w:rsidR="00BD4FAF" w:rsidRDefault="00BD4FAF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="005C588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정형타입</w:t>
      </w:r>
    </w:p>
    <w:p w:rsidR="005C5887" w:rsidRPr="005C4145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5887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034003BC" wp14:editId="5BD3A4CA">
            <wp:extent cx="5731510" cy="7155815"/>
            <wp:effectExtent l="0" t="0" r="2540" b="6985"/>
            <wp:docPr id="6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5C5887" w:rsidRP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P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랜덤타입</w:t>
      </w:r>
    </w:p>
    <w:p w:rsidR="005C5887" w:rsidRPr="005C4145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5887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60DEF4BC" wp14:editId="645FBA78">
            <wp:extent cx="5686458" cy="4729881"/>
            <wp:effectExtent l="0" t="0" r="0" b="0"/>
            <wp:docPr id="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t="14041"/>
                    <a:stretch/>
                  </pic:blipFill>
                  <pic:spPr>
                    <a:xfrm>
                      <a:off x="0" y="0"/>
                      <a:ext cx="5686458" cy="472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사선타입</w:t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/>
          <w:noProof/>
          <w:color w:val="000000"/>
          <w:kern w:val="0"/>
          <w:szCs w:val="20"/>
        </w:rPr>
        <w:drawing>
          <wp:inline distT="0" distB="0" distL="0" distR="0" wp14:anchorId="031F08C4" wp14:editId="0CA5B3C9">
            <wp:extent cx="5627920" cy="6108761"/>
            <wp:effectExtent l="0" t="0" r="0" b="6350"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7920" cy="610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조합가능 대골타입</w:t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/>
          <w:noProof/>
          <w:color w:val="000000"/>
          <w:kern w:val="0"/>
          <w:szCs w:val="20"/>
        </w:rPr>
        <w:drawing>
          <wp:inline distT="0" distB="0" distL="0" distR="0" wp14:anchorId="65C8B83F" wp14:editId="23FBA7C1">
            <wp:extent cx="5707363" cy="6175660"/>
            <wp:effectExtent l="0" t="0" r="8255" b="0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7363" cy="61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② 좌우 / 상하 결합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095E51DE" wp14:editId="027774DD">
            <wp:extent cx="4667416" cy="3059201"/>
            <wp:effectExtent l="0" t="0" r="0" b="8255"/>
            <wp:docPr id="8" name="그림 8" descr="EMB00004d382e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598448" descr="EMB00004d382ed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878" cy="307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1"/>
          <w:szCs w:val="21"/>
          <w:shd w:val="clear" w:color="auto" w:fill="FFFFFF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 w:val="21"/>
          <w:szCs w:val="21"/>
          <w:shd w:val="clear" w:color="auto" w:fill="FFFFFF"/>
        </w:rPr>
        <w:t>③ 패널 상세 제원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190"/>
        <w:gridCol w:w="1794"/>
        <w:gridCol w:w="2647"/>
      </w:tblGrid>
      <w:tr w:rsidR="00E92021" w:rsidRPr="005C4145" w:rsidTr="00C13C4A">
        <w:trPr>
          <w:trHeight w:val="285"/>
        </w:trPr>
        <w:tc>
          <w:tcPr>
            <w:tcW w:w="23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원판두께</w:t>
            </w:r>
          </w:p>
        </w:tc>
        <w:tc>
          <w:tcPr>
            <w:tcW w:w="2190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0.8 mm</w:t>
            </w:r>
          </w:p>
        </w:tc>
        <w:tc>
          <w:tcPr>
            <w:tcW w:w="1794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성형타입</w:t>
            </w:r>
          </w:p>
        </w:tc>
        <w:tc>
          <w:tcPr>
            <w:tcW w:w="2647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Corrugated (골형태)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단위무게(Kg/m2)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약 17 kg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조인트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Invisible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패널너비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450mm, 550mm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수지타입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불소 또는 초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고내후성 도료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원판코일너비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1219 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플랜지 높이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최대길이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 6,000 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패널간 줄눈폭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없음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최소길이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주문 생산 가능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부속자재</w:t>
      </w:r>
    </w:p>
    <w:p w:rsidR="00E92021" w:rsidRPr="005C4145" w:rsidRDefault="00BD4FAF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라인패널의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조인트 결합 방식 패널 시스템은 물막이를 위해 차수판을 필수적으로 설치 한다. 차수판은 하기 제원의 고내식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강판을 사용하며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아연도금강판(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>GI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전기아연도금 강판(EGI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,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갈바)은 수분 접촉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시 내식 성능이 취약하므로 사용을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지양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실리콘 결합방식 패널의 경우 차수판을 설치하지 아니한다.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차수판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상세스팩은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다음과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같다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.</w:t>
      </w:r>
      <w:r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KS D 3033 (용융 55%알루미늄 아연 마그네슘 합금도금 강판 및 강대)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최소 도금량 : 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0g/m2 (AM1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두께 : 0.5mm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1294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천공기준 2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0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이상 보증 가능 제품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3. 시 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 시공조건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3.1.3 공사 착수 전 당해 패널 시공의 공사범위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 작업준비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3.2.1 1.8 품질보증의 1.8.4 공사 전 협의 ①항 내지 ④항 및 3.1.1 내지 3.1.3항, 1.10 환경요구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시공계획서 및 시공상세도면 등 제출물을 작성하여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시공도에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 설치 시 철물 및 충진재 등의 부자재를 종목별로 구분하여 작업이 원활하게 이뤄질수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 시공기준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설계도서 및 시방내용,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3.3.2 주요 내용별 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="00BD4FAF"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라인 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패널)의 설치 (외단열 기준)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골조에 전용 고정핀을 사용하여 단열재를 설치한다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단열재는(PF보드, 글라스울) 단열재 전용 고정핀을 사용하여 균형을 맞춰 4 Point에 고정시킨다.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1m2 기준 평균 4개의 고정핀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</w:t>
      </w:r>
      <w:r w:rsidRPr="005C4145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각 파이프를 최대 간격 1,200mm를 넘지 않도록 격자로 시공 후 결합한다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* 각파이프 : 50 x 50 x 2.3T 아연도금 제품을 사용한다. (GI 도금량 : 120g/m2이상)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브라켓 고정방법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단열 스터드 앵커 고정을 위해 ø13 햄머 드릴로 단열재 및 골조 천공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천공 위치에 ø12 단열 스터드 앵커와 브라켓 설치.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브라켓과 각 파이프는 용접 및 볼트로 고정.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단열 스터드 앵커 유효 깊이 : 70mm 이상 / 유효간격 : 1000mm 이내 시공하여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 후 처짐이 발생하지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브라켓은 5T 이상 스틸 제품사용(용융아연도금)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각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파이프는 레이저 수평기를 사용하여 수직/수평을 맞추고,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최대 간격은 1200mm 넘지 않게 격자로 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④ 차수판을 설치한다.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차수판은 (1219 x 2438 x 0.5T) / * 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항의 고내식 강판을 사용하여 전체에 밀실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하게</w:t>
      </w:r>
      <w:r>
        <w:rPr>
          <w:rFonts w:ascii="맑은 고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차수판 고정은 ø4.2 x 20LG 직결 / 접시머리 스크류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(Self Countersunk Head/sts304) 및 에어타카를 사용하여 고정한다.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차수판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사이는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100mm 이상 겹쳐서 시공, 겹침 부위는 타이벡테이프 (Acrylic Tape)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⑤ 라인패널(골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)을 스크류로 고정한다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⑥ 라인패널(골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은 후레싱 설치 후 판 하나씩 끼워 넣는 방식으로 시공한다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⑦ 패널 고정은 스크류(STS)를 사용하며 그 제품은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a. </w:t>
      </w:r>
      <w:r w:rsidR="006C5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차수판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적용 시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32LG (32LG 이상 직결제품 사용)SELF PAN HEAD(STS304)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b. </w:t>
      </w:r>
      <w:r w:rsidR="006C5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차수판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미적용 시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25LG(25LG 이상 직결제품 사용)SELF PAN HEAD(STS304))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고정간격 : 스크류 간격은 @1200 이하로 고정할 것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⑧ 보호필름을 제거한다.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3.4.1 공종간의 작업순서 및 간섭사항은 1.8 품질보증의 1.8.4 공사 전 협의 와 같이 관련 공종 간 충분히 협의하여 간섭을 최소화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3.5.1 패널의 설치는 시공도에 표기된 접합상세에 따르며 설치에 사용하는 각종 철물류는 규정에 적합한 것을 사용하여야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3.5.2 패널의 시공은 수평, 수직을 확인하여 인접패널과 어긋남이 없도록 시공에 정밀도를 높이며 패널과 패널의 이음면 등은 도장마감 등에 지장 없도록 면 처리를 정밀하게 시공한다.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bookmarkStart w:id="0" w:name="_GoBack"/>
      <w:bookmarkEnd w:id="0"/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3.6.2 설계도서 및 시공계획서에서 규정한 시공품질이 확보되지 못하여 담당원의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 현장품질관리[하자보수 및 자체 시공 품질팀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 치수 차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뒤틀림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기울기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입회검사 : 선도장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대칭치수차, 뒤틀림, 휨, 부풀음, 면의 내외 기울기, 부속철물의 기능 및 흠, 또는 더러움, 시공상태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3.9.1 보수 : 설치 후 즉시, 스크래치 부위를 터치업 페인트를 이용해 보수하며, 보수되지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3.9.2 현장에서 발생한 잔재 및 쓰레기는 현장 내 지정된 장소로 운반하며 장비 및 잉여자재의 보관, 관리를 철저히 하여 후속작업에 지장이 없도록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3.10.1 완료된 패널공사의 기능과 품질수준이 설계도서의 요구조건에 충족되는지 시공구간을 확 인하여 담당원에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3.11.1 공사를 완료하면 당해 시공자는 담당원의 입회하에 담당원의 지시에 따라 최종 정리하여 목적물을 발주자 또는 담당원(대리인) 에 인도하여 관리토록 한다.</w:t>
      </w:r>
    </w:p>
    <w:p w:rsidR="00E92021" w:rsidRPr="005C4145" w:rsidRDefault="00E92021" w:rsidP="00E92021"/>
    <w:p w:rsidR="008E7181" w:rsidRPr="00E92021" w:rsidRDefault="008E7181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sectPr w:rsidR="00DD54C3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12E" w:rsidRDefault="006C712E" w:rsidP="00381C84">
      <w:pPr>
        <w:spacing w:after="0" w:line="240" w:lineRule="auto"/>
      </w:pPr>
      <w:r>
        <w:separator/>
      </w:r>
    </w:p>
  </w:endnote>
  <w:endnote w:type="continuationSeparator" w:id="0">
    <w:p w:rsidR="006C712E" w:rsidRDefault="006C712E" w:rsidP="0038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12E" w:rsidRDefault="006C712E" w:rsidP="00381C84">
      <w:pPr>
        <w:spacing w:after="0" w:line="240" w:lineRule="auto"/>
      </w:pPr>
      <w:r>
        <w:separator/>
      </w:r>
    </w:p>
  </w:footnote>
  <w:footnote w:type="continuationSeparator" w:id="0">
    <w:p w:rsidR="006C712E" w:rsidRDefault="006C712E" w:rsidP="00381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077367"/>
    <w:rsid w:val="00381C84"/>
    <w:rsid w:val="005801F7"/>
    <w:rsid w:val="005C5887"/>
    <w:rsid w:val="006C57BA"/>
    <w:rsid w:val="006C712E"/>
    <w:rsid w:val="00706E2D"/>
    <w:rsid w:val="007C54E0"/>
    <w:rsid w:val="00843DAE"/>
    <w:rsid w:val="00885846"/>
    <w:rsid w:val="008E7181"/>
    <w:rsid w:val="009E15A8"/>
    <w:rsid w:val="00B30FF3"/>
    <w:rsid w:val="00BD4FAF"/>
    <w:rsid w:val="00DD54C3"/>
    <w:rsid w:val="00E92021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E11DB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List Paragraph"/>
    <w:basedOn w:val="a"/>
    <w:uiPriority w:val="34"/>
    <w:qFormat/>
    <w:rsid w:val="00BD4FAF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381C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1C84"/>
  </w:style>
  <w:style w:type="paragraph" w:styleId="a6">
    <w:name w:val="footer"/>
    <w:basedOn w:val="a"/>
    <w:link w:val="Char1"/>
    <w:uiPriority w:val="99"/>
    <w:unhideWhenUsed/>
    <w:rsid w:val="00381C8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2025-04-14T00:00:00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라인패널 특기 시방서</vt:lpstr>
    </vt:vector>
  </TitlesOfParts>
  <Company>동국씨엠 주식회사</Company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라인패널 특기 시방서</dc:title>
  <dc:subject>동국씨엠 주식회사</dc:subject>
  <dc:creator>서울특별시 을지로5길 19 페럼타워 5층</dc:creator>
  <cp:keywords/>
  <dc:description/>
  <cp:lastModifiedBy>USER</cp:lastModifiedBy>
  <cp:revision>7</cp:revision>
  <dcterms:created xsi:type="dcterms:W3CDTF">2024-01-29T06:01:00Z</dcterms:created>
  <dcterms:modified xsi:type="dcterms:W3CDTF">2025-04-14T05:45:00Z</dcterms:modified>
</cp:coreProperties>
</file>